
<file path=[Content_Types].xml><?xml version="1.0" encoding="utf-8"?>
<Types xmlns="http://schemas.openxmlformats.org/package/2006/content-types">
  <Default Extension="bmp" ContentType="image/bmp"/>
  <Default Extension="gif" ContentType="image/gi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body>
    <w:bookmarkStart w:id="0" w:name="_top"/>
    <w:bookmarkEnd w:id="0"/>
    <w:p>
      <w:pPr>
        <w:pStyle w:val="0"/>
        <w:widowControl w:val="off"/>
        <w:wordWrap w:val="1"/>
        <w:spacing w:line="264" w:lineRule="auto"/>
        <w:jc w:val="center"/>
      </w:pPr>
      <w:r>
        <w:rPr>
          <w:rFonts w:ascii="HY헤드라인M" w:eastAsia="HY헤드라인M"/>
          <w:emboss/>
          <w:color w:val="166da8"/>
          <w:spacing w:val="-22"/>
          <w:sz w:val="34"/>
        </w:rPr>
        <w:t>1조</w:t>
      </w:r>
      <w:r>
        <w:rPr>
          <w:rFonts w:ascii="HY헤드라인M" w:eastAsia="HY헤드라인M"/>
          <w:emboss/>
          <w:spacing w:val="-22"/>
          <w:sz w:val="34"/>
        </w:rPr>
        <w:t xml:space="preserve"> 달러</w:t>
      </w:r>
      <w:r>
        <w:rPr>
          <w:rFonts w:eastAsia="HY헤드라인M"/>
          <w:emboss/>
          <w:spacing w:val="-22"/>
          <w:sz w:val="34"/>
        </w:rPr>
        <w:t>ㆍ</w:t>
      </w:r>
      <w:r>
        <w:rPr>
          <w:rFonts w:ascii="HY헤드라인M" w:eastAsia="HY헤드라인M"/>
          <w:emboss/>
          <w:color w:val="166da8"/>
          <w:spacing w:val="-22"/>
          <w:sz w:val="34"/>
        </w:rPr>
        <w:t>10 억톤</w:t>
      </w:r>
      <w:r>
        <w:rPr>
          <w:rFonts w:ascii="HY헤드라인M" w:eastAsia="HY헤드라인M"/>
          <w:emboss/>
          <w:spacing w:val="-22"/>
          <w:sz w:val="34"/>
        </w:rPr>
        <w:t xml:space="preserve">의 무역대국, </w:t>
      </w:r>
      <w:r>
        <w:rPr>
          <w:rFonts w:ascii="HY헤드라인M"/>
          <w:emboss/>
          <w:color w:val="166da8"/>
          <w:spacing w:val="-22"/>
          <w:sz w:val="34"/>
        </w:rPr>
        <w:t>99.7%</w:t>
      </w:r>
      <w:r>
        <w:rPr>
          <w:rFonts w:ascii="HY헤드라인M" w:eastAsia="HY헤드라인M"/>
          <w:emboss/>
          <w:spacing w:val="-22"/>
          <w:sz w:val="34"/>
        </w:rPr>
        <w:t xml:space="preserve"> 선박운송</w:t>
      </w:r>
      <w:r>
        <w:rPr>
          <w:rFonts w:ascii="다음_SemiBold"/>
          <w:emboss/>
          <w:spacing w:val="-22"/>
          <w:sz w:val="34"/>
        </w:rPr>
        <w:t xml:space="preserve"> </w:t>
      </w:r>
      <w:r>
        <w:rPr>
          <w:rFonts w:ascii="돋움체"/>
          <w:spacing w:val="-19"/>
          <w:sz w:val="26"/>
        </w:rPr>
        <w:t xml:space="preserve"> </w:t>
      </w:r>
    </w:p>
    <w:tbl>
      <w:tblPr>
        <w:tblOverlap w:val="never"/>
        <w:tblW w:w="9015" w:type="dxa"/>
        <w:tblBorders>
          <w:top w:val="single" w:color="000000" w:sz="3"/>
          <w:left w:val="single" w:color="000000" w:sz="3"/>
          <w:bottom w:val="single" w:color="000000" w:sz="3"/>
          <w:right w:val="single" w:color="000000" w:sz="3"/>
        </w:tblBorders>
        <w:tblLayout w:type="fixed"/>
        <w:tblCellMar>
          <w:top w:w="28" w:type="dxa"/>
          <w:left w:w="102" w:type="dxa"/>
          <w:bottom w:w="28" w:type="dxa"/>
          <w:right w:w="102" w:type="dxa"/>
        </w:tblCellMar>
      </w:tblPr>
      <w:tblGrid>
        <w:gridCol w:w="1193"/>
        <w:gridCol w:w="3343"/>
        <w:gridCol w:w="1193"/>
        <w:gridCol w:w="3287"/>
      </w:tblGrid>
      <w:tr>
        <w:trPr>
          <w:trHeight w:val="1275"/>
        </w:trPr>
        <w:tc>
          <w:tcPr>
            <w:tcW w:w="4536" w:type="dxa"/>
            <w:gridSpan w:val="2"/>
            <w:tcBorders>
              <w:top w:val="single" w:color="000000" w:sz="9"/>
              <w:left w:val="single" w:color="000000" w:sz="9"/>
              <w:bottom w:val="single" w:color="000000" w:sz="9"/>
              <w:right w:val="single" w:color="000000" w:sz="3"/>
            </w:tcBorders>
            <w:vAlign w:val="center"/>
          </w:tcPr>
          <w:p>
            <w:pPr>
              <w:pStyle w:val="0"/>
              <w:widowControl w:val="off"/>
              <w:wordWrap w:val="1"/>
              <w:jc w:val="center"/>
            </w:pPr>
            <w:r>
              <w:drawing>
                <wp:inline distT="0" distB="0" distL="0" distR="0">
                  <wp:extent cx="2447925" cy="575945"/>
                  <wp:effectExtent l="0" t="0" r="0" b="0"/>
                  <wp:docPr id="1" name="그림 %d 1"/>
                  <wp:cNvGraphicFramePr/>
                  <a:graphic>
                    <a:graphicData uri="http://schemas.openxmlformats.org/drawingml/2006/picture">
                      <pic:pic>
                        <pic:nvPicPr>
                          <pic:cNvPr id="0" name="C:\Users\min_g\AppData\Local\Temp\Hnc\BinData\EMB0000558c01e8.gif"/>
                          <pic:cNvPicPr/>
                        </pic:nvPicPr>
                        <pic:blipFill>
                          <a:blip r:embed="rId1"/>
                          <a:stretch>
                            <a:fillRect/>
                          </a:stretch>
                        </pic:blipFill>
                        <pic:spPr>
                          <a:xfrm>
                            <a:off x="0" y="0"/>
                            <a:ext cx="2447925" cy="575945"/>
                          </a:xfrm>
                          <a:prstGeom prst="rect">
                            <a:avLst/>
                          </a:prstGeom>
                          <a:effectLst/>
                        </pic:spPr>
                      </pic:pic>
                    </a:graphicData>
                  </a:graphic>
                </wp:inline>
              </w:drawing>
            </w:r>
          </w:p>
        </w:tc>
        <w:tc>
          <w:tcPr>
            <w:tcW w:w="4479" w:type="dxa"/>
            <w:gridSpan w:val="2"/>
            <w:tcBorders>
              <w:top w:val="single" w:color="000000" w:sz="9"/>
              <w:left w:val="single" w:color="000000" w:sz="3"/>
              <w:bottom w:val="single" w:color="000000" w:sz="9"/>
              <w:right w:val="single" w:color="000000" w:sz="9"/>
            </w:tcBorders>
            <w:vAlign w:val="center"/>
          </w:tcPr>
          <w:p>
            <w:pPr>
              <w:pStyle w:val="0"/>
              <w:widowControl w:val="off"/>
              <w:wordWrap w:val="1"/>
              <w:spacing w:line="288" w:lineRule="auto"/>
              <w:jc w:val="right"/>
            </w:pPr>
            <w:r>
              <w:drawing>
                <wp:anchor distT="0" distB="0" distL="0" distR="0" simplePos="0" relativeHeight="4" behindDoc="0" locked="0" layoutInCell="1" allowOverlap="1">
                  <wp:simplePos x="0" y="0"/>
                  <wp:positionH relativeFrom="column">
                    <wp:posOffset>0</wp:posOffset>
                  </wp:positionH>
                  <wp:positionV relativeFrom="paragraph">
                    <wp:posOffset>0</wp:posOffset>
                  </wp:positionV>
                  <wp:extent cx="2663952" cy="575945"/>
                  <wp:effectExtent l="0" t="0" r="0" b="0"/>
                  <wp:wrapTopAndBottom/>
                  <wp:docPr id="2" name="그림 %d 2"/>
                  <wp:cNvGraphicFramePr/>
                  <a:graphic>
                    <a:graphicData uri="http://schemas.openxmlformats.org/drawingml/2006/picture">
                      <pic:pic>
                        <pic:nvPicPr>
                          <pic:cNvPr id="0" name="C:\Users\min_g\AppData\Local\Temp\Hnc\BinData\EMB0000558c01e9.bmp"/>
                          <pic:cNvPicPr/>
                        </pic:nvPicPr>
                        <pic:blipFill>
                          <a:blip r:embed="rId2"/>
                          <a:stretch>
                            <a:fillRect/>
                          </a:stretch>
                        </pic:blipFill>
                        <pic:spPr>
                          <a:xfrm>
                            <a:off x="0" y="0"/>
                            <a:ext cx="2663952" cy="575945"/>
                          </a:xfrm>
                          <a:prstGeom prst="rect">
                            <a:avLst/>
                          </a:prstGeom>
                          <a:effectLst/>
                        </pic:spPr>
                      </pic:pic>
                    </a:graphicData>
                  </a:graphic>
                </wp:anchor>
              </w:drawing>
              <w:rPr>
                <w:rFonts w:eastAsia="양재튼튼체B"/>
                <w:sz w:val="48"/>
                <w:shd w:val="clear" w:color="000000"/>
              </w:rPr>
              <w:t>보도자료</w:t>
            </w:r>
          </w:p>
        </w:tc>
      </w:tr>
      <w:tr>
        <w:trPr>
          <w:trHeight w:val="353"/>
        </w:trPr>
        <w:tc>
          <w:tcPr>
            <w:tcW w:w="1193" w:type="dxa"/>
            <w:tcBorders>
              <w:top w:val="single" w:color="000000" w:sz="9"/>
              <w:left w:val="single" w:color="000000" w:sz="9"/>
              <w:bottom w:val="single" w:color="000000" w:sz="3"/>
              <w:right w:val="single" w:color="000000" w:sz="3"/>
            </w:tcBorders>
            <w:vAlign w:val="center"/>
          </w:tcPr>
          <w:p>
            <w:pPr>
              <w:pStyle w:val="0"/>
              <w:widowControl w:val="off"/>
              <w:jc w:val="distribute"/>
            </w:pPr>
            <w:r>
              <w:rPr>
                <w:rFonts w:eastAsia="맑은 고딕"/>
                <w:b/>
                <w:spacing w:val="-29"/>
                <w:sz w:val="24"/>
                <w:shd w:val="clear" w:color="000000"/>
              </w:rPr>
              <w:t>배포일시</w:t>
            </w:r>
          </w:p>
        </w:tc>
        <w:tc>
          <w:tcPr>
            <w:tcW w:w="3343" w:type="dxa"/>
            <w:tcBorders>
              <w:top w:val="single" w:color="000000" w:sz="9"/>
              <w:left w:val="single" w:color="000000" w:sz="3"/>
              <w:bottom w:val="single" w:color="000000" w:sz="3"/>
              <w:right w:val="single" w:color="000000" w:sz="3"/>
            </w:tcBorders>
            <w:vAlign w:val="center"/>
          </w:tcPr>
          <w:p>
            <w:pPr>
              <w:pStyle w:val="0"/>
              <w:widowControl w:val="off"/>
            </w:pPr>
            <w:r>
              <w:rPr>
                <w:rFonts w:ascii="맑은 고딕"/>
                <w:b/>
                <w:sz w:val="24"/>
                <w:shd w:val="clear" w:color="000000"/>
              </w:rPr>
              <w:t>2026. 6. 30.</w:t>
            </w:r>
          </w:p>
        </w:tc>
        <w:tc>
          <w:tcPr>
            <w:tcW w:w="1193" w:type="dxa"/>
            <w:tcBorders>
              <w:top w:val="single" w:color="000000" w:sz="9"/>
              <w:left w:val="single" w:color="000000" w:sz="3"/>
              <w:bottom w:val="single" w:color="000000" w:sz="3"/>
              <w:right w:val="single" w:color="000000" w:sz="3"/>
            </w:tcBorders>
            <w:vAlign w:val="center"/>
          </w:tcPr>
          <w:p>
            <w:pPr>
              <w:pStyle w:val="0"/>
              <w:widowControl w:val="off"/>
              <w:jc w:val="distribute"/>
            </w:pPr>
            <w:r>
              <w:rPr>
                <w:rFonts w:eastAsia="맑은 고딕"/>
                <w:b/>
                <w:spacing w:val="-28"/>
                <w:sz w:val="24"/>
                <w:shd w:val="clear" w:color="000000"/>
              </w:rPr>
              <w:t>담당부서</w:t>
            </w:r>
          </w:p>
        </w:tc>
        <w:tc>
          <w:tcPr>
            <w:tcW w:w="3287" w:type="dxa"/>
            <w:tcBorders>
              <w:top w:val="single" w:color="000000" w:sz="9"/>
              <w:left w:val="single" w:color="000000" w:sz="3"/>
              <w:bottom w:val="single" w:color="000000" w:sz="3"/>
              <w:right w:val="single" w:color="000000" w:sz="9"/>
            </w:tcBorders>
            <w:vAlign w:val="center"/>
          </w:tcPr>
          <w:p>
            <w:pPr>
              <w:pStyle w:val="0"/>
              <w:widowControl w:val="off"/>
            </w:pPr>
            <w:r>
              <w:rPr>
                <w:rFonts w:eastAsia="맑은 고딕"/>
                <w:b/>
                <w:sz w:val="24"/>
                <w:shd w:val="clear" w:color="000000"/>
              </w:rPr>
              <w:t>해무팀</w:t>
            </w:r>
          </w:p>
        </w:tc>
      </w:tr>
      <w:tr>
        <w:trPr>
          <w:trHeight w:val="353"/>
        </w:trPr>
        <w:tc>
          <w:tcPr>
            <w:tcW w:w="1193" w:type="dxa"/>
            <w:tcBorders>
              <w:top w:val="single" w:color="000000" w:sz="3"/>
              <w:left w:val="single" w:color="000000" w:sz="9"/>
              <w:bottom w:val="single" w:color="000000" w:sz="9"/>
              <w:right w:val="single" w:color="000000" w:sz="3"/>
            </w:tcBorders>
            <w:vAlign w:val="center"/>
          </w:tcPr>
          <w:p>
            <w:pPr>
              <w:pStyle w:val="0"/>
              <w:widowControl w:val="off"/>
              <w:jc w:val="distribute"/>
            </w:pPr>
            <w:r>
              <w:rPr>
                <w:rFonts w:eastAsia="맑은 고딕"/>
                <w:b/>
                <w:sz w:val="24"/>
                <w:shd w:val="clear" w:color="000000"/>
              </w:rPr>
              <w:t>연락처</w:t>
            </w:r>
          </w:p>
        </w:tc>
        <w:tc>
          <w:tcPr>
            <w:tcW w:w="3343" w:type="dxa"/>
            <w:tcBorders>
              <w:top w:val="single" w:color="000000" w:sz="3"/>
              <w:left w:val="single" w:color="000000" w:sz="3"/>
              <w:bottom w:val="single" w:color="000000" w:sz="9"/>
              <w:right w:val="single" w:color="000000" w:sz="3"/>
            </w:tcBorders>
            <w:vAlign w:val="center"/>
          </w:tcPr>
          <w:p>
            <w:pPr>
              <w:pStyle w:val="0"/>
              <w:widowControl w:val="off"/>
            </w:pPr>
            <w:r>
              <w:rPr>
                <w:rFonts w:ascii="맑은 고딕"/>
                <w:b/>
                <w:sz w:val="24"/>
                <w:shd w:val="clear" w:color="000000"/>
              </w:rPr>
              <w:t>02)739-1551~3</w:t>
            </w:r>
          </w:p>
        </w:tc>
        <w:tc>
          <w:tcPr>
            <w:tcW w:w="1193" w:type="dxa"/>
            <w:tcBorders>
              <w:top w:val="single" w:color="000000" w:sz="3"/>
              <w:left w:val="single" w:color="000000" w:sz="3"/>
              <w:bottom w:val="single" w:color="000000" w:sz="9"/>
              <w:right w:val="single" w:color="000000" w:sz="3"/>
            </w:tcBorders>
            <w:vAlign w:val="center"/>
          </w:tcPr>
          <w:p>
            <w:pPr>
              <w:pStyle w:val="0"/>
              <w:widowControl w:val="off"/>
              <w:jc w:val="distribute"/>
            </w:pPr>
            <w:r>
              <w:rPr>
                <w:rFonts w:eastAsia="맑은 고딕"/>
                <w:b/>
                <w:sz w:val="24"/>
                <w:shd w:val="clear" w:color="000000"/>
              </w:rPr>
              <w:t>담당자</w:t>
            </w:r>
          </w:p>
        </w:tc>
        <w:tc>
          <w:tcPr>
            <w:tcW w:w="3287" w:type="dxa"/>
            <w:tcBorders>
              <w:top w:val="single" w:color="000000" w:sz="3"/>
              <w:left w:val="single" w:color="000000" w:sz="3"/>
              <w:bottom w:val="single" w:color="000000" w:sz="9"/>
              <w:right w:val="single" w:color="000000" w:sz="9"/>
            </w:tcBorders>
            <w:vAlign w:val="center"/>
          </w:tcPr>
          <w:p>
            <w:pPr>
              <w:pStyle w:val="0"/>
              <w:widowControl w:val="off"/>
            </w:pPr>
            <w:r>
              <w:rPr>
                <w:rFonts w:ascii="맑은 고딕" w:eastAsia="맑은 고딕"/>
                <w:b/>
                <w:sz w:val="24"/>
                <w:shd w:val="clear" w:color="000000"/>
              </w:rPr>
              <w:t>이종화 차장, 문효균 대리</w:t>
            </w:r>
          </w:p>
        </w:tc>
      </w:tr>
    </w:tbl>
    <w:p>
      <w:pPr>
        <w:pStyle w:val="0"/>
        <w:widowControl w:val="off"/>
        <w:spacing w:line="264" w:lineRule="auto"/>
      </w:pPr>
    </w:p>
    <w:p>
      <w:pPr>
        <w:pStyle w:val="0"/>
        <w:widowControl w:val="off"/>
        <w:spacing w:line="408" w:lineRule="auto"/>
      </w:pPr>
      <w:r>
        <w:rPr>
          <w:rFonts w:ascii="맑은 고딕"/>
          <w:spacing w:val="-7"/>
          <w:sz w:val="28"/>
          <w:shd w:val="clear" w:color="000000"/>
        </w:rPr>
        <w:t xml:space="preserve"> </w:t>
      </w:r>
    </w:p>
    <w:tbl>
      <w:tblPr>
        <w:tblOverlap w:val="never"/>
        <w:tblW w:w="8900" w:type="dxa"/>
        <w:tblBorders>
          <w:top w:val="single" w:color="000000" w:sz="3"/>
          <w:left w:val="single" w:color="000000" w:sz="3"/>
          <w:bottom w:val="single" w:color="000000" w:sz="3"/>
          <w:right w:val="single" w:color="000000" w:sz="3"/>
        </w:tblBorders>
        <w:tblLayout w:type="fixed"/>
        <w:tblCellMar>
          <w:top w:w="28" w:type="dxa"/>
          <w:left w:w="28" w:type="dxa"/>
          <w:bottom w:w="28" w:type="dxa"/>
          <w:right w:w="28" w:type="dxa"/>
        </w:tblCellMar>
      </w:tblPr>
      <w:tblGrid>
        <w:gridCol w:w="8900"/>
      </w:tblGrid>
      <w:tr>
        <w:trPr>
          <w:trHeight w:val="1311"/>
        </w:trPr>
        <w:tc>
          <w:tcPr>
            <w:tcW w:w="8900" w:type="dxa"/>
            <w:tcBorders>
              <w:top w:val="single" w:color="000000" w:sz="9"/>
              <w:left w:val="none" w:color="000000" w:sz="2"/>
              <w:bottom w:val="single" w:color="000000" w:sz="9"/>
              <w:right w:val="none" w:color="000000" w:sz="2"/>
            </w:tcBorders>
            <w:vAlign w:val="center"/>
          </w:tcPr>
          <w:p>
            <w:pPr>
              <w:pStyle w:val="0"/>
              <w:widowControl w:val="off"/>
              <w:wordWrap w:val="1"/>
              <w:spacing w:before="140" w:line="312"/>
              <w:jc w:val="center"/>
            </w:pPr>
            <w:r>
              <w:rPr>
                <w:rFonts w:ascii="HY헤드라인M" w:eastAsia="HY헤드라인M"/>
                <w:spacing w:val="-22"/>
                <w:sz w:val="36"/>
                <w:shd w:val="clear" w:color="000000"/>
              </w:rPr>
              <w:t>한국해운협회, 부산항 줄잡이 작업 안전사고 예방 위해     4개 기관, 안전교육 강화키로</w:t>
            </w:r>
          </w:p>
          <w:p>
            <w:pPr>
              <w:pStyle w:val="0"/>
              <w:widowControl w:val="off"/>
              <w:wordWrap w:val="1"/>
              <w:spacing w:before="140" w:line="312"/>
              <w:jc w:val="center"/>
            </w:pPr>
            <w:r>
              <w:rPr>
                <w:rFonts w:ascii="HY헤드라인M" w:eastAsia="HY헤드라인M"/>
                <w:spacing w:val="-22"/>
                <w:sz w:val="30"/>
                <w:shd w:val="clear" w:color="000000"/>
              </w:rPr>
              <w:t>- 부산항만공사·한국항만연수원·부산항만산업협회와 업무협약 체결</w:t>
            </w:r>
          </w:p>
        </w:tc>
      </w:tr>
    </w:tbl>
    <w:p>
      <w:pPr>
        <w:pStyle w:val="0"/>
        <w:widowControl w:val="off"/>
        <w:spacing w:line="408" w:lineRule="auto"/>
      </w:pPr>
    </w:p>
    <w:p>
      <w:pPr>
        <w:pStyle w:val="0"/>
        <w:widowControl w:val="off"/>
        <w:tabs>
          <w:tab w:val="left" w:leader="none" w:pos="0"/>
          <w:tab w:val="left" w:leader="none" w:pos="800"/>
          <w:tab w:val="left" w:leader="none" w:pos="1600"/>
          <w:tab w:val="left" w:leader="none" w:pos="2400"/>
          <w:tab w:val="left" w:leader="none" w:pos="3200"/>
          <w:tab w:val="left" w:leader="none" w:pos="4000"/>
          <w:tab w:val="left" w:leader="none" w:pos="4800"/>
          <w:tab w:val="left" w:leader="none" w:pos="5600"/>
          <w:tab w:val="left" w:leader="none" w:pos="6400"/>
          <w:tab w:val="left" w:leader="none" w:pos="7200"/>
          <w:tab w:val="left" w:leader="none" w:pos="8000"/>
          <w:tab w:val="left" w:leader="none" w:pos="8800"/>
          <w:tab w:val="left" w:leader="none" w:pos="9600"/>
          <w:tab w:val="left" w:leader="none" w:pos="10400"/>
          <w:tab w:val="left" w:leader="none" w:pos="11200"/>
          <w:tab w:val="left" w:leader="none" w:pos="12000"/>
          <w:tab w:val="left" w:leader="none" w:pos="12800"/>
          <w:tab w:val="left" w:leader="none" w:pos="13600"/>
          <w:tab w:val="left" w:leader="none" w:pos="14400"/>
          <w:tab w:val="left" w:leader="none" w:pos="15200"/>
          <w:tab w:val="left" w:leader="none" w:pos="16000"/>
          <w:tab w:val="left" w:leader="none" w:pos="16800"/>
          <w:tab w:val="left" w:leader="none" w:pos="17600"/>
          <w:tab w:val="left" w:leader="none" w:pos="18400"/>
          <w:tab w:val="left" w:leader="none" w:pos="19200"/>
          <w:tab w:val="left" w:leader="none" w:pos="20000"/>
          <w:tab w:val="left" w:leader="none" w:pos="20800"/>
          <w:tab w:val="left" w:leader="none" w:pos="21600"/>
          <w:tab w:val="left" w:leader="none" w:pos="22400"/>
          <w:tab w:val="left" w:leader="none" w:pos="23200"/>
          <w:tab w:val="left" w:leader="none" w:pos="24000"/>
          <w:tab w:val="left" w:leader="none" w:pos="24800"/>
          <w:tab w:val="left" w:leader="none" w:pos="25600"/>
        </w:tabs>
        <w:spacing w:before="260" w:line="456"/>
      </w:pPr>
      <w:r>
        <w:rPr>
          <w:rFonts w:ascii="맑은 고딕" w:eastAsia="맑은 고딕"/>
          <w:sz w:val="28"/>
        </w:rPr>
        <w:t>한국해운협회(회장 박정석)는 6월 29일(월) 부산항만공사(사장 송상근), 한국항만연수원(이사장 김상식), 사단법인 부산항만산업협회(회장 유일화)와 함께 ‘부산항 줄잡이업 항만안전교육 업무협약’을 체결했다.</w:t>
      </w:r>
    </w:p>
    <w:p>
      <w:pPr>
        <w:pStyle w:val="0"/>
        <w:widowControl w:val="off"/>
        <w:tabs>
          <w:tab w:val="left" w:leader="none" w:pos="0"/>
          <w:tab w:val="left" w:leader="none" w:pos="800"/>
          <w:tab w:val="left" w:leader="none" w:pos="1600"/>
          <w:tab w:val="left" w:leader="none" w:pos="2400"/>
          <w:tab w:val="left" w:leader="none" w:pos="3200"/>
          <w:tab w:val="left" w:leader="none" w:pos="4000"/>
          <w:tab w:val="left" w:leader="none" w:pos="4800"/>
          <w:tab w:val="left" w:leader="none" w:pos="5600"/>
          <w:tab w:val="left" w:leader="none" w:pos="6400"/>
          <w:tab w:val="left" w:leader="none" w:pos="7200"/>
          <w:tab w:val="left" w:leader="none" w:pos="8000"/>
          <w:tab w:val="left" w:leader="none" w:pos="8800"/>
          <w:tab w:val="left" w:leader="none" w:pos="9600"/>
          <w:tab w:val="left" w:leader="none" w:pos="10400"/>
          <w:tab w:val="left" w:leader="none" w:pos="11200"/>
          <w:tab w:val="left" w:leader="none" w:pos="12000"/>
          <w:tab w:val="left" w:leader="none" w:pos="12800"/>
          <w:tab w:val="left" w:leader="none" w:pos="13600"/>
          <w:tab w:val="left" w:leader="none" w:pos="14400"/>
          <w:tab w:val="left" w:leader="none" w:pos="15200"/>
          <w:tab w:val="left" w:leader="none" w:pos="16000"/>
          <w:tab w:val="left" w:leader="none" w:pos="16800"/>
          <w:tab w:val="left" w:leader="none" w:pos="17600"/>
          <w:tab w:val="left" w:leader="none" w:pos="18400"/>
          <w:tab w:val="left" w:leader="none" w:pos="19200"/>
          <w:tab w:val="left" w:leader="none" w:pos="20000"/>
          <w:tab w:val="left" w:leader="none" w:pos="20800"/>
          <w:tab w:val="left" w:leader="none" w:pos="21600"/>
          <w:tab w:val="left" w:leader="none" w:pos="22400"/>
          <w:tab w:val="left" w:leader="none" w:pos="23200"/>
          <w:tab w:val="left" w:leader="none" w:pos="24000"/>
          <w:tab w:val="left" w:leader="none" w:pos="24800"/>
          <w:tab w:val="left" w:leader="none" w:pos="25600"/>
        </w:tabs>
        <w:spacing w:before="260" w:line="456"/>
      </w:pPr>
      <w:r>
        <w:rPr>
          <w:rFonts w:ascii="맑은 고딕" w:eastAsia="맑은 고딕"/>
          <w:sz w:val="28"/>
        </w:rPr>
        <w:t>이번 협약은 선박이 부두에 접안하거나 이안할 때 수행하는 ‘줄잡이 작업’ 중 발생할 수 있는 안전사고를 선제적으로 예방하고,   부산항 내에 안전한 작업 환경을 조성하기 위해 마련되었다.</w:t>
      </w:r>
    </w:p>
    <w:p>
      <w:pPr>
        <w:pStyle w:val="0"/>
        <w:widowControl w:val="off"/>
        <w:tabs>
          <w:tab w:val="left" w:leader="none" w:pos="0"/>
          <w:tab w:val="left" w:leader="none" w:pos="800"/>
          <w:tab w:val="left" w:leader="none" w:pos="1600"/>
          <w:tab w:val="left" w:leader="none" w:pos="2400"/>
          <w:tab w:val="left" w:leader="none" w:pos="3200"/>
          <w:tab w:val="left" w:leader="none" w:pos="4000"/>
          <w:tab w:val="left" w:leader="none" w:pos="4800"/>
          <w:tab w:val="left" w:leader="none" w:pos="5600"/>
          <w:tab w:val="left" w:leader="none" w:pos="6400"/>
          <w:tab w:val="left" w:leader="none" w:pos="7200"/>
          <w:tab w:val="left" w:leader="none" w:pos="8000"/>
          <w:tab w:val="left" w:leader="none" w:pos="8800"/>
          <w:tab w:val="left" w:leader="none" w:pos="9600"/>
          <w:tab w:val="left" w:leader="none" w:pos="10400"/>
          <w:tab w:val="left" w:leader="none" w:pos="11200"/>
          <w:tab w:val="left" w:leader="none" w:pos="12000"/>
          <w:tab w:val="left" w:leader="none" w:pos="12800"/>
          <w:tab w:val="left" w:leader="none" w:pos="13600"/>
          <w:tab w:val="left" w:leader="none" w:pos="14400"/>
          <w:tab w:val="left" w:leader="none" w:pos="15200"/>
          <w:tab w:val="left" w:leader="none" w:pos="16000"/>
          <w:tab w:val="left" w:leader="none" w:pos="16800"/>
          <w:tab w:val="left" w:leader="none" w:pos="17600"/>
          <w:tab w:val="left" w:leader="none" w:pos="18400"/>
          <w:tab w:val="left" w:leader="none" w:pos="19200"/>
          <w:tab w:val="left" w:leader="none" w:pos="20000"/>
          <w:tab w:val="left" w:leader="none" w:pos="20800"/>
          <w:tab w:val="left" w:leader="none" w:pos="21600"/>
          <w:tab w:val="left" w:leader="none" w:pos="22400"/>
          <w:tab w:val="left" w:leader="none" w:pos="23200"/>
          <w:tab w:val="left" w:leader="none" w:pos="24000"/>
          <w:tab w:val="left" w:leader="none" w:pos="24800"/>
          <w:tab w:val="left" w:leader="none" w:pos="25600"/>
        </w:tabs>
        <w:spacing w:before="260" w:line="456"/>
      </w:pPr>
      <w:r>
        <w:rPr>
          <w:rFonts w:ascii="맑은 고딕" w:eastAsia="맑은 고딕"/>
          <w:sz w:val="28"/>
        </w:rPr>
        <w:t>이에 따라 협약기관은 항만안전특별법 등 관련 법령에 따른 안전교육 의무를 철저히 준수하고, 이를 실질적인 사고 예방으로 연결하기 위해 현장 맞춤형 정례 교육체계를 구축하기로 뜻을 모았다.</w:t>
      </w:r>
    </w:p>
    <w:p>
      <w:pPr>
        <w:pStyle w:val="0"/>
        <w:widowControl w:val="off"/>
        <w:tabs>
          <w:tab w:val="left" w:leader="none" w:pos="0"/>
          <w:tab w:val="left" w:leader="none" w:pos="800"/>
          <w:tab w:val="left" w:leader="none" w:pos="1600"/>
          <w:tab w:val="left" w:leader="none" w:pos="2400"/>
          <w:tab w:val="left" w:leader="none" w:pos="3200"/>
          <w:tab w:val="left" w:leader="none" w:pos="4000"/>
          <w:tab w:val="left" w:leader="none" w:pos="4800"/>
          <w:tab w:val="left" w:leader="none" w:pos="5600"/>
          <w:tab w:val="left" w:leader="none" w:pos="6400"/>
          <w:tab w:val="left" w:leader="none" w:pos="7200"/>
          <w:tab w:val="left" w:leader="none" w:pos="8000"/>
          <w:tab w:val="left" w:leader="none" w:pos="8800"/>
          <w:tab w:val="left" w:leader="none" w:pos="9600"/>
          <w:tab w:val="left" w:leader="none" w:pos="10400"/>
          <w:tab w:val="left" w:leader="none" w:pos="11200"/>
          <w:tab w:val="left" w:leader="none" w:pos="12000"/>
          <w:tab w:val="left" w:leader="none" w:pos="12800"/>
          <w:tab w:val="left" w:leader="none" w:pos="13600"/>
          <w:tab w:val="left" w:leader="none" w:pos="14400"/>
          <w:tab w:val="left" w:leader="none" w:pos="15200"/>
          <w:tab w:val="left" w:leader="none" w:pos="16000"/>
          <w:tab w:val="left" w:leader="none" w:pos="16800"/>
          <w:tab w:val="left" w:leader="none" w:pos="17600"/>
          <w:tab w:val="left" w:leader="none" w:pos="18400"/>
          <w:tab w:val="left" w:leader="none" w:pos="19200"/>
          <w:tab w:val="left" w:leader="none" w:pos="20000"/>
          <w:tab w:val="left" w:leader="none" w:pos="20800"/>
          <w:tab w:val="left" w:leader="none" w:pos="21600"/>
          <w:tab w:val="left" w:leader="none" w:pos="22400"/>
          <w:tab w:val="left" w:leader="none" w:pos="23200"/>
          <w:tab w:val="left" w:leader="none" w:pos="24000"/>
          <w:tab w:val="left" w:leader="none" w:pos="24800"/>
          <w:tab w:val="left" w:leader="none" w:pos="25600"/>
        </w:tabs>
        <w:spacing w:before="260" w:line="456"/>
      </w:pPr>
      <w:r>
        <w:rPr>
          <w:rFonts w:ascii="맑은 고딕" w:eastAsia="맑은 고딕"/>
          <w:sz w:val="28"/>
        </w:rPr>
        <w:t>또한, 한국해운협회는 부산항만공사와 함께 줄잡이 근로자들의 교육 참여율을 높이고, 교육의 품질을 향상시키기 위해 금년도 교육비 일부와 교육 훈련장 개선을 지원하기로 했다.</w:t>
      </w:r>
    </w:p>
    <w:p>
      <w:pPr>
        <w:pStyle w:val="0"/>
        <w:widowControl w:val="off"/>
        <w:spacing w:before="120" w:line="456"/>
      </w:pPr>
      <w:r>
        <w:rPr>
          <w:rFonts w:ascii="맑은 고딕" w:eastAsia="맑은 고딕"/>
          <w:sz w:val="28"/>
        </w:rPr>
        <w:t>한국해운협회 양창호 상근부회장은 “이번 협약의 가장 중점적인 목적은 철저한 안전교육을 통해 검증된 근로자만이 우리 회원사의 선박 작업에 투입되도록 유도하는 것”이라며, “이를 통해 현장 근로자의 안전을 확보하는 것은 물론, 회원사 선박들이 안심하고 부산항을 이용할 수 있도록 대형 사고 예방에 최선을 다하겠다”고 강조했다.</w:t>
      </w:r>
    </w:p>
    <w:p>
      <w:pPr>
        <w:pStyle w:val="0"/>
        <w:widowControl w:val="off"/>
        <w:tabs>
          <w:tab w:val="left" w:leader="none" w:pos="0"/>
          <w:tab w:val="left" w:leader="none" w:pos="800"/>
          <w:tab w:val="left" w:leader="none" w:pos="1600"/>
          <w:tab w:val="left" w:leader="none" w:pos="2400"/>
          <w:tab w:val="left" w:leader="none" w:pos="3200"/>
          <w:tab w:val="left" w:leader="none" w:pos="4000"/>
          <w:tab w:val="left" w:leader="none" w:pos="4800"/>
          <w:tab w:val="left" w:leader="none" w:pos="5600"/>
          <w:tab w:val="left" w:leader="none" w:pos="6400"/>
          <w:tab w:val="left" w:leader="none" w:pos="7200"/>
          <w:tab w:val="left" w:leader="none" w:pos="8000"/>
          <w:tab w:val="left" w:leader="none" w:pos="8800"/>
          <w:tab w:val="left" w:leader="none" w:pos="9600"/>
          <w:tab w:val="left" w:leader="none" w:pos="10400"/>
          <w:tab w:val="left" w:leader="none" w:pos="11200"/>
          <w:tab w:val="left" w:leader="none" w:pos="12000"/>
          <w:tab w:val="left" w:leader="none" w:pos="12800"/>
          <w:tab w:val="left" w:leader="none" w:pos="13600"/>
          <w:tab w:val="left" w:leader="none" w:pos="14400"/>
          <w:tab w:val="left" w:leader="none" w:pos="15200"/>
          <w:tab w:val="left" w:leader="none" w:pos="16000"/>
          <w:tab w:val="left" w:leader="none" w:pos="16800"/>
          <w:tab w:val="left" w:leader="none" w:pos="17600"/>
          <w:tab w:val="left" w:leader="none" w:pos="18400"/>
          <w:tab w:val="left" w:leader="none" w:pos="19200"/>
          <w:tab w:val="left" w:leader="none" w:pos="20000"/>
          <w:tab w:val="left" w:leader="none" w:pos="20800"/>
          <w:tab w:val="left" w:leader="none" w:pos="21600"/>
          <w:tab w:val="left" w:leader="none" w:pos="22400"/>
          <w:tab w:val="left" w:leader="none" w:pos="23200"/>
          <w:tab w:val="left" w:leader="none" w:pos="24000"/>
          <w:tab w:val="left" w:leader="none" w:pos="24800"/>
          <w:tab w:val="left" w:leader="none" w:pos="25600"/>
        </w:tabs>
        <w:spacing w:before="260" w:line="456"/>
      </w:pPr>
      <w:r>
        <w:rPr>
          <w:rFonts w:ascii="맑은 고딕" w:eastAsia="맑은 고딕"/>
          <w:sz w:val="28"/>
        </w:rPr>
        <w:t>한국해운협회는 이번 업무협약을 계기로 현장 산업재해를 예방하고 항만 안전을 위한 유기적인 협력 체계를 가동할 예정이다.</w:t>
      </w:r>
    </w:p>
    <w:sectPr>
      <w:footnotePr>
        <w:numFmt w:val="decimal"/>
        <w:numRestart w:val="continuous"/>
      </w:footnotePr>
      <w:endnotePr>
        <w:pos w:val="docEnd"/>
        <w:numFmt w:val="decimal"/>
        <w:numRestart w:val="continuous"/>
      </w:endnotePr>
      <w:pgSz w:w="11906" w:h="16838"/>
      <w:pgMar w:top="1701" w:right="1701" w:bottom="1701" w:left="1701" w:header="850" w:footer="850" w:gutter="0"/>
      <w:cols w:space="0"/>
    </w:sectPr>
  </w:body>
</w:document>
</file>

<file path=word/numbering.xml><?xml version="1.0" encoding="utf-8"?>
<w:numbering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abstractNum w:abstractNumId="202">
    <w:multiLevelType w:val="multilevel"/>
    <w:lvl w:ilvl="0">
      <w:start w:val="1"/>
      <w:numFmt w:val="decimal"/>
      <w:suff w:val="space"/>
      <w:lvlText w:val="%1."/>
      <w:lvlJc w:val="left"/>
      <w:pStyle w:val="2"/>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start w:val="1"/>
      <w:numFmt w:val="decimal"/>
      <w:suff w:val="space"/>
      <w:lvlText w:val="%1.%1.%1.%1.%1.%1.%1.%1."/>
      <w:lvlJc w:val="left"/>
    </w:lvl>
    <w:lvl w:ilvl="8">
      <w:start w:val="1"/>
      <w:numFmt w:val="decimal"/>
      <w:suff w:val="space"/>
      <w:lvlText w:val="%1.%1.%1.%1.%1.%1.%1.%1.%1."/>
      <w:lvlJc w:val="left"/>
    </w:lvl>
  </w:abstractNum>
  <w:abstractNum w:abstractNumId="203">
    <w:multiLevelType w:val="multilevel"/>
    <w:lvl w:ilvl="0">
      <w:start w:val="1"/>
      <w:numFmt w:val="decimal"/>
      <w:suff w:val="space"/>
      <w:lvlText w:val="%1."/>
      <w:lvlJc w:val="left"/>
    </w:lvl>
    <w:lvl w:ilvl="1">
      <w:start w:val="1"/>
      <w:numFmt w:val="decimal"/>
      <w:suff w:val="space"/>
      <w:lvlText w:val="%1.%1."/>
      <w:lvlJc w:val="left"/>
      <w:pStyle w:val="3"/>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start w:val="1"/>
      <w:numFmt w:val="decimal"/>
      <w:suff w:val="space"/>
      <w:lvlText w:val="%1.%1.%1.%1.%1.%1.%1.%1."/>
      <w:lvlJc w:val="left"/>
    </w:lvl>
    <w:lvl w:ilvl="8">
      <w:start w:val="1"/>
      <w:numFmt w:val="decimal"/>
      <w:suff w:val="space"/>
      <w:lvlText w:val="%1.%1.%1.%1.%1.%1.%1.%1.%1."/>
      <w:lvlJc w:val="left"/>
    </w:lvl>
  </w:abstractNum>
  <w:abstractNum w:abstractNumId="204">
    <w:multiLevelType w:val="multilevel"/>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pStyle w:val="4"/>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start w:val="1"/>
      <w:numFmt w:val="decimal"/>
      <w:suff w:val="space"/>
      <w:lvlText w:val="%1.%1.%1.%1.%1.%1.%1.%1."/>
      <w:lvlJc w:val="left"/>
    </w:lvl>
    <w:lvl w:ilvl="8">
      <w:start w:val="1"/>
      <w:numFmt w:val="decimal"/>
      <w:suff w:val="space"/>
      <w:lvlText w:val="%1.%1.%1.%1.%1.%1.%1.%1.%1."/>
      <w:lvlJc w:val="left"/>
    </w:lvl>
  </w:abstractNum>
  <w:abstractNum w:abstractNumId="205">
    <w:multiLevelType w:val="multilevel"/>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pStyle w:val="5"/>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start w:val="1"/>
      <w:numFmt w:val="decimal"/>
      <w:suff w:val="space"/>
      <w:lvlText w:val="%1.%1.%1.%1.%1.%1.%1.%1."/>
      <w:lvlJc w:val="left"/>
    </w:lvl>
    <w:lvl w:ilvl="8">
      <w:start w:val="1"/>
      <w:numFmt w:val="decimal"/>
      <w:suff w:val="space"/>
      <w:lvlText w:val="%1.%1.%1.%1.%1.%1.%1.%1.%1."/>
      <w:lvlJc w:val="left"/>
    </w:lvl>
  </w:abstractNum>
  <w:abstractNum w:abstractNumId="206">
    <w:multiLevelType w:val="multilevel"/>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pStyle w:val="6"/>
    </w:lvl>
    <w:lvl w:ilvl="5">
      <w:start w:val="1"/>
      <w:numFmt w:val="decimal"/>
      <w:suff w:val="space"/>
      <w:lvlText w:val="%1.%1.%1.%1.%1.%1."/>
      <w:lvlJc w:val="left"/>
    </w:lvl>
    <w:lvl w:ilvl="6">
      <w:start w:val="1"/>
      <w:numFmt w:val="decimal"/>
      <w:suff w:val="space"/>
      <w:lvlText w:val="%1.%1.%1.%1.%1.%1.%1."/>
      <w:lvlJc w:val="left"/>
    </w:lvl>
    <w:lvl w:ilvl="7">
      <w:start w:val="1"/>
      <w:numFmt w:val="decimal"/>
      <w:suff w:val="space"/>
      <w:lvlText w:val="%1.%1.%1.%1.%1.%1.%1.%1."/>
      <w:lvlJc w:val="left"/>
    </w:lvl>
    <w:lvl w:ilvl="8">
      <w:start w:val="1"/>
      <w:numFmt w:val="decimal"/>
      <w:suff w:val="space"/>
      <w:lvlText w:val="%1.%1.%1.%1.%1.%1.%1.%1.%1."/>
      <w:lvlJc w:val="left"/>
    </w:lvl>
  </w:abstractNum>
  <w:abstractNum w:abstractNumId="207">
    <w:multiLevelType w:val="multilevel"/>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pStyle w:val="7"/>
    </w:lvl>
    <w:lvl w:ilvl="6">
      <w:start w:val="1"/>
      <w:numFmt w:val="decimal"/>
      <w:suff w:val="space"/>
      <w:lvlText w:val="%1.%1.%1.%1.%1.%1.%1."/>
      <w:lvlJc w:val="left"/>
    </w:lvl>
    <w:lvl w:ilvl="7">
      <w:start w:val="1"/>
      <w:numFmt w:val="decimal"/>
      <w:suff w:val="space"/>
      <w:lvlText w:val="%1.%1.%1.%1.%1.%1.%1.%1."/>
      <w:lvlJc w:val="left"/>
    </w:lvl>
    <w:lvl w:ilvl="8">
      <w:start w:val="1"/>
      <w:numFmt w:val="decimal"/>
      <w:suff w:val="space"/>
      <w:lvlText w:val="%1.%1.%1.%1.%1.%1.%1.%1.%1."/>
      <w:lvlJc w:val="left"/>
    </w:lvl>
  </w:abstractNum>
  <w:abstractNum w:abstractNumId="208">
    <w:multiLevelType w:val="multilevel"/>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pStyle w:val="8"/>
    </w:lvl>
    <w:lvl w:ilvl="7">
      <w:start w:val="1"/>
      <w:numFmt w:val="decimal"/>
      <w:suff w:val="space"/>
      <w:lvlText w:val="%1.%1.%1.%1.%1.%1.%1.%1."/>
      <w:lvlJc w:val="left"/>
    </w:lvl>
    <w:lvl w:ilvl="8">
      <w:start w:val="1"/>
      <w:numFmt w:val="decimal"/>
      <w:suff w:val="space"/>
      <w:lvlText w:val="%1.%1.%1.%1.%1.%1.%1.%1.%1."/>
      <w:lvlJc w:val="left"/>
    </w:lvl>
  </w:abstract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bering>
</file>

<file path=word/settings.xml><?xml version="1.0" encoding="utf-8"?>
<w:setting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zoom w:percent="100"/>
  <w:bordersDoNotSurroundHeader/>
  <w:bordersDoNotSurroundFooter/>
  <w:stylePaneFormatFilter w:val="0001"/>
  <w:defaultTabStop w:val="800"/>
  <w:compat>
    <w:spaceForUL/>
    <w:balanceSingleByteDoubleByteWidth/>
    <w:doNotLeaveBackslashAlone/>
    <w:ulTrailSpace/>
    <w:doNotExpandShiftReturn/>
    <w:adjustLineHeightInTable/>
    <w:useFELayout/>
  </w:compat>
</w:settings>
</file>

<file path=word/styles.xml><?xml version="1.0" encoding="utf-8"?>
<w:style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style w:type="paragraph" w:styleId="0" w:default="1">
    <w:name w:val="바탕글"/>
    <w:uiPriority w:val="0"/>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pPr>
    <w:rPr>
      <w:rFonts w:ascii="함초롬바탕" w:eastAsia="함초롬바탕"/>
      <w:color w:val="000000"/>
      <w:sz w:val="20"/>
      <w:shd w:val="clear" w:color="000000"/>
    </w:rPr>
  </w:style>
  <w:style w:type="paragraph" w:styleId="1">
    <w:name w:val="본문"/>
    <w:uiPriority w:val="1"/>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300" w:right="0" w:firstLine="0"/>
      <w:jc w:val="both"/>
      <w:textAlignment w:val="baseline"/>
    </w:pPr>
    <w:rPr>
      <w:rFonts w:ascii="함초롬바탕" w:eastAsia="함초롬바탕"/>
      <w:color w:val="000000"/>
      <w:sz w:val="20"/>
      <w:shd w:val="clear" w:color="000000"/>
    </w:rPr>
  </w:style>
  <w:style w:type="paragraph" w:styleId="2">
    <w:name w:val="개요 1"/>
    <w:uiPriority w:val="2"/>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200" w:right="0" w:firstLine="0"/>
      <w:jc w:val="both"/>
      <w:textAlignment w:val="baseline"/>
      <w:outlineLvl w:val="0"/>
      <w:numPr>
        <w:numId w:val="202"/>
        <w:ilvl w:val="0"/>
      </w:numPr>
    </w:pPr>
    <w:rPr>
      <w:rFonts w:ascii="함초롬바탕" w:eastAsia="함초롬바탕"/>
      <w:color w:val="000000"/>
      <w:sz w:val="20"/>
      <w:shd w:val="clear" w:color="000000"/>
    </w:rPr>
  </w:style>
  <w:style w:type="paragraph" w:styleId="3">
    <w:name w:val="개요 2"/>
    <w:uiPriority w:val="3"/>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400" w:right="0" w:firstLine="0"/>
      <w:jc w:val="both"/>
      <w:textAlignment w:val="baseline"/>
      <w:outlineLvl w:val="1"/>
      <w:numPr>
        <w:numId w:val="203"/>
        <w:ilvl w:val="1"/>
      </w:numPr>
    </w:pPr>
    <w:rPr>
      <w:rFonts w:ascii="함초롬바탕" w:eastAsia="함초롬바탕"/>
      <w:color w:val="000000"/>
      <w:sz w:val="20"/>
      <w:shd w:val="clear" w:color="000000"/>
    </w:rPr>
  </w:style>
  <w:style w:type="paragraph" w:styleId="4">
    <w:name w:val="개요 3"/>
    <w:uiPriority w:val="4"/>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600" w:right="0" w:firstLine="0"/>
      <w:jc w:val="both"/>
      <w:textAlignment w:val="baseline"/>
      <w:outlineLvl w:val="2"/>
      <w:numPr>
        <w:numId w:val="204"/>
        <w:ilvl w:val="2"/>
      </w:numPr>
    </w:pPr>
    <w:rPr>
      <w:rFonts w:ascii="함초롬바탕" w:eastAsia="함초롬바탕"/>
      <w:color w:val="000000"/>
      <w:sz w:val="20"/>
      <w:shd w:val="clear" w:color="000000"/>
    </w:rPr>
  </w:style>
  <w:style w:type="paragraph" w:styleId="5">
    <w:name w:val="개요 4"/>
    <w:uiPriority w:val="5"/>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800" w:right="0" w:firstLine="0"/>
      <w:jc w:val="both"/>
      <w:textAlignment w:val="baseline"/>
      <w:outlineLvl w:val="3"/>
      <w:numPr>
        <w:numId w:val="205"/>
        <w:ilvl w:val="3"/>
      </w:numPr>
    </w:pPr>
    <w:rPr>
      <w:rFonts w:ascii="함초롬바탕" w:eastAsia="함초롬바탕"/>
      <w:color w:val="000000"/>
      <w:sz w:val="20"/>
      <w:shd w:val="clear" w:color="000000"/>
    </w:rPr>
  </w:style>
  <w:style w:type="paragraph" w:styleId="6">
    <w:name w:val="개요 5"/>
    <w:uiPriority w:val="6"/>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000" w:right="0" w:firstLine="0"/>
      <w:jc w:val="both"/>
      <w:textAlignment w:val="baseline"/>
      <w:outlineLvl w:val="4"/>
      <w:numPr>
        <w:numId w:val="206"/>
        <w:ilvl w:val="4"/>
      </w:numPr>
    </w:pPr>
    <w:rPr>
      <w:rFonts w:ascii="함초롬바탕" w:eastAsia="함초롬바탕"/>
      <w:color w:val="000000"/>
      <w:sz w:val="20"/>
      <w:shd w:val="clear" w:color="000000"/>
    </w:rPr>
  </w:style>
  <w:style w:type="paragraph" w:styleId="7">
    <w:name w:val="개요 6"/>
    <w:uiPriority w:val="7"/>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200" w:right="0" w:firstLine="0"/>
      <w:jc w:val="both"/>
      <w:textAlignment w:val="baseline"/>
      <w:outlineLvl w:val="5"/>
      <w:numPr>
        <w:numId w:val="207"/>
        <w:ilvl w:val="5"/>
      </w:numPr>
    </w:pPr>
    <w:rPr>
      <w:rFonts w:ascii="함초롬바탕" w:eastAsia="함초롬바탕"/>
      <w:color w:val="000000"/>
      <w:sz w:val="20"/>
      <w:shd w:val="clear" w:color="000000"/>
    </w:rPr>
  </w:style>
  <w:style w:type="paragraph" w:styleId="8">
    <w:name w:val="개요 7"/>
    <w:uiPriority w:val="8"/>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400" w:right="0" w:firstLine="0"/>
      <w:jc w:val="both"/>
      <w:textAlignment w:val="baseline"/>
      <w:outlineLvl w:val="6"/>
      <w:numPr>
        <w:numId w:val="208"/>
        <w:ilvl w:val="6"/>
      </w:numPr>
    </w:pPr>
    <w:rPr>
      <w:rFonts w:ascii="함초롬바탕" w:eastAsia="함초롬바탕"/>
      <w:color w:val="000000"/>
      <w:sz w:val="20"/>
      <w:shd w:val="clear" w:color="000000"/>
    </w:rPr>
  </w:style>
  <w:style w:type="paragraph" w:styleId="9">
    <w:name w:val="쪽 번호"/>
    <w:uiPriority w:val="9"/>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pPr>
    <w:rPr>
      <w:rFonts w:ascii="함초롬돋움" w:eastAsia="함초롬돋움"/>
      <w:color w:val="000000"/>
      <w:sz w:val="20"/>
      <w:shd w:val="clear" w:color="000000"/>
    </w:rPr>
  </w:style>
  <w:style w:type="paragraph" w:styleId="10">
    <w:name w:val="머리말"/>
    <w:uiPriority w:val="10"/>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0" w:after="0" w:line="360" w:lineRule="auto"/>
      <w:ind w:left="0" w:right="0" w:firstLine="0"/>
      <w:jc w:val="both"/>
      <w:textAlignment w:val="baseline"/>
    </w:pPr>
    <w:rPr>
      <w:rFonts w:ascii="함초롬돋움" w:eastAsia="함초롬돋움"/>
      <w:color w:val="000000"/>
      <w:sz w:val="18"/>
      <w:shd w:val="clear" w:color="000000"/>
    </w:rPr>
  </w:style>
  <w:style w:type="paragraph" w:styleId="11">
    <w:name w:val="각주"/>
    <w:uiPriority w:val="11"/>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12" w:lineRule="auto"/>
      <w:ind w:left="262" w:right="0" w:hanging="262"/>
      <w:jc w:val="both"/>
      <w:textAlignment w:val="baseline"/>
    </w:pPr>
    <w:rPr>
      <w:rFonts w:ascii="함초롬바탕" w:eastAsia="함초롬바탕"/>
      <w:color w:val="000000"/>
      <w:sz w:val="18"/>
      <w:shd w:val="clear" w:color="000000"/>
    </w:rPr>
  </w:style>
  <w:style w:type="paragraph" w:styleId="12">
    <w:name w:val="미주"/>
    <w:uiPriority w:val="12"/>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12" w:lineRule="auto"/>
      <w:ind w:left="262" w:right="0" w:hanging="262"/>
      <w:jc w:val="both"/>
      <w:textAlignment w:val="baseline"/>
    </w:pPr>
    <w:rPr>
      <w:rFonts w:ascii="함초롬바탕" w:eastAsia="함초롬바탕"/>
      <w:color w:val="000000"/>
      <w:sz w:val="18"/>
      <w:shd w:val="clear" w:color="000000"/>
    </w:rPr>
  </w:style>
  <w:style w:type="paragraph" w:styleId="13">
    <w:name w:val="메모"/>
    <w:uiPriority w:val="13"/>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0" w:after="0" w:line="312" w:lineRule="auto"/>
      <w:ind w:left="0" w:right="0" w:firstLine="0"/>
      <w:jc w:val="left"/>
      <w:textAlignment w:val="baseline"/>
    </w:pPr>
    <w:rPr>
      <w:rFonts w:ascii="함초롬돋움" w:eastAsia="함초롬돋움"/>
      <w:color w:val="000000"/>
      <w:spacing w:val="-4"/>
      <w:sz w:val="18"/>
      <w:shd w:val="clear" w:color="000000"/>
    </w:rPr>
  </w:style>
  <w:style w:type="paragraph" w:styleId="14">
    <w:name w:val="중간제목"/>
    <w:uiPriority w:val="14"/>
    <w:pPr>
      <w:widowControl w:val="off"/>
      <w:pBdr>
        <w:top w:val="none" w:color="000000" w:sz="2" w:space="0"/>
        <w:left w:val="none" w:color="000000" w:sz="2" w:space="0"/>
        <w:bottom w:val="none" w:color="000000" w:sz="2" w:space="0"/>
        <w:right w:val="none" w:color="000000" w:sz="2" w:space="0"/>
      </w:pBdr>
      <w:shd w:val="clear" w:color="000000" w:fill="ffffff"/>
      <w:wordWrap w:val="1"/>
      <w:autoSpaceDE w:val="off"/>
      <w:autoSpaceDN w:val="off"/>
      <w:snapToGrid w:val="off"/>
      <w:spacing w:before="0" w:after="0" w:line="504" w:lineRule="auto"/>
      <w:ind w:left="0" w:right="0" w:firstLine="0"/>
      <w:jc w:val="center"/>
      <w:textAlignment w:val="baseline"/>
    </w:pPr>
    <w:rPr>
      <w:rFonts w:ascii="한양신명조" w:eastAsia="굴림"/>
      <w:b/>
      <w:color w:val="000000"/>
      <w:spacing w:val="3"/>
      <w:sz w:val="30"/>
    </w:rPr>
  </w:style>
  <w:style w:type="paragraph" w:styleId="15">
    <w:name w:val="MS바탕글"/>
    <w:uiPriority w:val="15"/>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200" w:line="273" w:lineRule="auto"/>
      <w:ind w:left="0" w:right="0" w:firstLine="0"/>
      <w:jc w:val="both"/>
      <w:textAlignment w:val="baseline"/>
    </w:pPr>
    <w:rPr>
      <w:rFonts w:ascii="맑은 고딕" w:eastAsia="맑은 고딕"/>
      <w:color w:val="000000"/>
      <w:sz w:val="20"/>
    </w:rPr>
  </w:style>
  <w:style w:type="paragraph" w:styleId="16">
    <w:name w:val="xl67"/>
    <w:uiPriority w:val="16"/>
    <w:pPr>
      <w:widowControl w:val="off"/>
      <w:pBdr>
        <w:top w:val="none" w:color="000000" w:sz="2" w:space="0"/>
        <w:left w:val="none" w:color="000000" w:sz="2" w:space="0"/>
        <w:bottom w:val="none" w:color="000000" w:sz="2" w:space="0"/>
        <w:right w:val="none" w:color="000000" w:sz="2" w:space="0"/>
      </w:pBdr>
      <w:shd w:val="clear" w:color="000000" w:fill="ffffff"/>
      <w:wordWrap w:val="1"/>
      <w:autoSpaceDE w:val="off"/>
      <w:autoSpaceDN w:val="off"/>
      <w:snapToGrid/>
      <w:spacing w:before="0" w:after="0" w:line="240" w:lineRule="auto"/>
      <w:ind w:left="0" w:right="0" w:firstLine="0"/>
      <w:jc w:val="center"/>
      <w:textAlignment w:val="center"/>
    </w:pPr>
    <w:rPr>
      <w:rFonts w:ascii="맑은 고딕" w:eastAsia="맑은 고딕"/>
      <w:color w:val="000000"/>
      <w:sz w:val="20"/>
    </w:rPr>
  </w:style>
  <w:style w:type="paragraph" w:styleId="17">
    <w:name w:val="xl68"/>
    <w:uiPriority w:val="17"/>
    <w:pPr>
      <w:widowControl w:val="off"/>
      <w:pBdr>
        <w:top w:val="none" w:color="000000" w:sz="2" w:space="0"/>
        <w:left w:val="none" w:color="000000" w:sz="2" w:space="0"/>
        <w:bottom w:val="none" w:color="000000" w:sz="2" w:space="0"/>
        <w:right w:val="none" w:color="000000" w:sz="2" w:space="0"/>
      </w:pBdr>
      <w:shd w:val="clear" w:color="000000" w:fill="ffffff"/>
      <w:wordWrap w:val="1"/>
      <w:autoSpaceDE w:val="off"/>
      <w:autoSpaceDN w:val="off"/>
      <w:snapToGrid/>
      <w:spacing w:before="0" w:after="0" w:line="240" w:lineRule="auto"/>
      <w:ind w:left="0" w:right="0" w:firstLine="0"/>
      <w:jc w:val="left"/>
      <w:textAlignment w:val="center"/>
    </w:pPr>
    <w:rPr>
      <w:rFonts w:ascii="맑은 고딕" w:eastAsia="맑은 고딕"/>
      <w:color w:val="000000"/>
      <w:sz w:val="20"/>
    </w:rPr>
  </w:style>
  <w:style w:type="paragraph" w:styleId="18">
    <w:name w:val="xl73"/>
    <w:uiPriority w:val="18"/>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0" w:after="0" w:line="240" w:lineRule="auto"/>
      <w:ind w:left="0" w:right="0" w:firstLine="0"/>
      <w:jc w:val="center"/>
      <w:textAlignment w:val="center"/>
    </w:pPr>
    <w:rPr>
      <w:rFonts w:ascii="맑은 고딕" w:eastAsia="맑은 고딕"/>
      <w:color w:val="000000"/>
      <w:sz w:val="20"/>
    </w:rPr>
  </w:style>
  <w:style w:type="paragraph" w:styleId="19">
    <w:name w:val="xl71"/>
    <w:uiPriority w:val="19"/>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center"/>
      <w:textAlignment w:val="baseline"/>
    </w:pPr>
    <w:rPr>
      <w:rFonts w:ascii="맑은 고딕" w:eastAsia="맑은 고딕"/>
      <w:color w:val="000000"/>
      <w:sz w:val="22"/>
    </w:rPr>
  </w:style>
</w:styles>
</file>

<file path=word/_rels/document.xml.rels><?xml version="1.0" encoding="UTF-8" standalone="yes" ?><Relationships xmlns="http://schemas.openxmlformats.org/package/2006/relationships"><Relationship Id="rId1" Type="http://schemas.openxmlformats.org/officeDocument/2006/relationships/image" Target="media/image0.gif"  /><Relationship Id="rId2" Type="http://schemas.openxmlformats.org/officeDocument/2006/relationships/image" Target="media/image1.bmp"  /><Relationship Id="rId3" Type="http://schemas.openxmlformats.org/officeDocument/2006/relationships/settings" Target="settings.xml"  /><Relationship Id="rId4" Type="http://schemas.openxmlformats.org/officeDocument/2006/relationships/styles" Target="styles.xml"  /><Relationship Id="rId5" Type="http://schemas.openxmlformats.org/officeDocument/2006/relationships/numbering" Target="numbering.xml"  /></Relationships>
</file>

<file path=docProps/app.xml><?xml version="1.0" encoding="utf-8"?>
<ep:Properties xmlns:r="http://schemas.openxmlformats.org/officeDocument/2006/relationships" xmlns:ep="http://schemas.openxmlformats.org/officeDocument/2006/extended-properties" xmlns:vt="http://schemas.openxmlformats.org/officeDocument/2006/docPropsVTypes">
  <ep:Application>Hancom Office Hanword</ep:Application>
  <ep:AppVersion>12.3</ep:AppVersion>
</ep:Properties>
</file>

<file path=docProps/core.xml><?xml version="1.0" encoding="utf-8"?>
<cp:coreProperties xmlns:r="http://schemas.openxmlformats.org/officeDocument/2006/relationships" xmlns:cp="http://schemas.openxmlformats.org/package/2006/metadata/core-properties" xmlns:dc="http://purl.org/dc/elements/1.1/" xmlns:dcterms="http://purl.org/dc/terms/" xmlns:dcmitype="http://purl.org/dc/dcmitype/" xmlns:xsi="http://www.w3.org/2001/XMLSchema-instance">
  <dc:title>1조 달러ㆍ10 억톤의 무역대국</dc:title>
  <dc:creator>HG YANG</dc:creator>
  <cp:lastModifiedBy>DynamicGom</cp:lastModifiedBy>
  <dcterms:created xsi:type="dcterms:W3CDTF">2020-12-03T01:09:55.180</dcterms:created>
  <dcterms:modified xsi:type="dcterms:W3CDTF">2026-06-29T01:43:50.604</dcterms:modified>
  <cp:version>0501.0100.01</cp:version>
</cp:coreProperties>
</file>